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hint="eastAsia" w:asciiTheme="minorEastAsia" w:hAnsiTheme="minorEastAsia"/>
          <w:b/>
          <w:bCs/>
          <w:sz w:val="40"/>
          <w:szCs w:val="44"/>
        </w:rPr>
        <w:t>深圳民爆光电股份有限公司</w:t>
      </w:r>
    </w:p>
    <w:p>
      <w:pPr>
        <w:jc w:val="center"/>
        <w:rPr>
          <w:rFonts w:cs="PMingLiU" w:asciiTheme="minorEastAsia" w:hAnsiTheme="minorEastAsia"/>
          <w:color w:val="7F7F7F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40"/>
          <w:szCs w:val="44"/>
        </w:rPr>
        <w:t>无频闪老化架招标公告</w:t>
      </w:r>
    </w:p>
    <w:p>
      <w:pPr>
        <w:pStyle w:val="2"/>
        <w:widowControl/>
        <w:shd w:val="clear" w:color="auto" w:fill="FFFFFF"/>
        <w:spacing w:before="174" w:beforeAutospacing="0" w:after="174" w:afterAutospacing="0" w:line="450" w:lineRule="atLeast"/>
        <w:rPr>
          <w:rFonts w:hint="default" w:cs="微软雅黑" w:asciiTheme="minorEastAsia" w:hAnsiTheme="minorEastAsia" w:eastAsiaTheme="minorEastAsia"/>
          <w:color w:val="000000"/>
          <w:sz w:val="31"/>
          <w:szCs w:val="31"/>
        </w:rPr>
      </w:pPr>
      <w:r>
        <w:rPr>
          <w:rFonts w:cs="宋体" w:asciiTheme="minorEastAsia" w:hAnsiTheme="minorEastAsia" w:eastAsiaTheme="minorEastAsia"/>
          <w:color w:val="696969"/>
          <w:sz w:val="24"/>
          <w:szCs w:val="24"/>
          <w:shd w:val="clear" w:color="auto" w:fill="FFFFFF"/>
        </w:rPr>
        <w:t>民爆光电致力于建立廉洁有效、公平规范的供应商机制,我们将以公开的方式,给制造商提供公平、公正的投标机会！我们以公平竞争为荣，期待与您精诚合作！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</w:rPr>
        <w:t>一</w:t>
      </w:r>
      <w:r>
        <w:rPr>
          <w:rFonts w:hint="eastAsia" w:asciiTheme="minorEastAsia" w:hAnsiTheme="minorEastAsia"/>
          <w:sz w:val="28"/>
          <w:szCs w:val="32"/>
        </w:rPr>
        <w:t>、投标方资质要求：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1)</w:t>
      </w:r>
      <w:r>
        <w:rPr>
          <w:rFonts w:hint="eastAsia" w:asciiTheme="minorEastAsia" w:hAnsiTheme="minorEastAsia"/>
          <w:sz w:val="28"/>
          <w:szCs w:val="32"/>
          <w:lang w:eastAsia="zh-TW"/>
        </w:rPr>
        <w:t>专业生产</w:t>
      </w:r>
      <w:r>
        <w:rPr>
          <w:rFonts w:hint="eastAsia" w:asciiTheme="minorEastAsia" w:hAnsiTheme="minorEastAsia"/>
          <w:sz w:val="28"/>
          <w:szCs w:val="32"/>
        </w:rPr>
        <w:t>老化架</w:t>
      </w:r>
      <w:r>
        <w:rPr>
          <w:rFonts w:hint="eastAsia" w:asciiTheme="minorEastAsia" w:hAnsiTheme="minorEastAsia"/>
          <w:sz w:val="28"/>
          <w:szCs w:val="32"/>
          <w:lang w:eastAsia="zh-TW"/>
        </w:rPr>
        <w:t>供应商，有专业研发设计</w:t>
      </w:r>
      <w:r>
        <w:rPr>
          <w:rFonts w:hint="eastAsia" w:asciiTheme="minorEastAsia" w:hAnsiTheme="minorEastAsia"/>
          <w:sz w:val="28"/>
          <w:szCs w:val="32"/>
        </w:rPr>
        <w:t>制</w:t>
      </w:r>
      <w:r>
        <w:rPr>
          <w:rFonts w:hint="eastAsia" w:asciiTheme="minorEastAsia" w:hAnsiTheme="minorEastAsia"/>
          <w:sz w:val="28"/>
          <w:szCs w:val="32"/>
          <w:lang w:eastAsia="zh-TW"/>
        </w:rPr>
        <w:t>造能力，具备</w:t>
      </w:r>
      <w:r>
        <w:rPr>
          <w:rFonts w:hint="eastAsia" w:asciiTheme="minorEastAsia" w:hAnsiTheme="minorEastAsia"/>
          <w:sz w:val="28"/>
          <w:szCs w:val="32"/>
        </w:rPr>
        <w:t>老化架</w:t>
      </w:r>
      <w:r>
        <w:rPr>
          <w:rFonts w:hint="eastAsia" w:asciiTheme="minorEastAsia" w:hAnsiTheme="minorEastAsia"/>
          <w:sz w:val="28"/>
          <w:szCs w:val="32"/>
          <w:lang w:eastAsia="zh-TW"/>
        </w:rPr>
        <w:t>解决方案能力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2)</w:t>
      </w:r>
      <w:r>
        <w:rPr>
          <w:rFonts w:hint="eastAsia" w:asciiTheme="minorEastAsia" w:hAnsiTheme="minorEastAsia"/>
          <w:sz w:val="28"/>
          <w:szCs w:val="32"/>
          <w:lang w:eastAsia="zh-TW"/>
        </w:rPr>
        <w:t>有</w:t>
      </w:r>
      <w:r>
        <w:rPr>
          <w:rFonts w:hint="eastAsia" w:asciiTheme="minorEastAsia" w:hAnsiTheme="minorEastAsia"/>
          <w:sz w:val="28"/>
          <w:szCs w:val="32"/>
        </w:rPr>
        <w:t>专业的技术支持团队，</w:t>
      </w:r>
      <w:r>
        <w:rPr>
          <w:rFonts w:hint="eastAsia" w:asciiTheme="minorEastAsia" w:hAnsiTheme="minorEastAsia"/>
          <w:sz w:val="28"/>
          <w:szCs w:val="32"/>
          <w:lang w:eastAsia="zh-TW"/>
        </w:rPr>
        <w:t>能够在24小时内提供技术/售后支持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3)</w:t>
      </w:r>
      <w:r>
        <w:rPr>
          <w:rFonts w:hint="eastAsia" w:asciiTheme="minorEastAsia" w:hAnsiTheme="minorEastAsia"/>
          <w:sz w:val="28"/>
          <w:szCs w:val="32"/>
          <w:lang w:eastAsia="zh-TW"/>
        </w:rPr>
        <w:t>公司成立</w:t>
      </w:r>
      <w:r>
        <w:rPr>
          <w:rFonts w:hint="eastAsia" w:asciiTheme="minorEastAsia" w:hAnsiTheme="minorEastAsia"/>
          <w:sz w:val="28"/>
          <w:szCs w:val="32"/>
        </w:rPr>
        <w:t>10</w:t>
      </w:r>
      <w:r>
        <w:rPr>
          <w:rFonts w:hint="eastAsia" w:asciiTheme="minorEastAsia" w:hAnsiTheme="minorEastAsia"/>
          <w:sz w:val="28"/>
          <w:szCs w:val="32"/>
          <w:lang w:eastAsia="zh-TW"/>
        </w:rPr>
        <w:t>年以上</w:t>
      </w:r>
      <w:r>
        <w:rPr>
          <w:rFonts w:hint="eastAsia" w:asciiTheme="minorEastAsia" w:hAnsiTheme="minorEastAsia"/>
          <w:sz w:val="28"/>
          <w:szCs w:val="32"/>
        </w:rPr>
        <w:t>,</w:t>
      </w:r>
      <w:r>
        <w:rPr>
          <w:rFonts w:hint="eastAsia" w:asciiTheme="minorEastAsia" w:hAnsiTheme="minorEastAsia"/>
          <w:sz w:val="28"/>
          <w:szCs w:val="32"/>
          <w:lang w:eastAsia="zh-TW"/>
        </w:rPr>
        <w:t>注册资金</w:t>
      </w:r>
      <w:r>
        <w:rPr>
          <w:rFonts w:hint="eastAsia" w:asciiTheme="minorEastAsia" w:hAnsiTheme="minorEastAsia"/>
          <w:sz w:val="28"/>
          <w:szCs w:val="32"/>
        </w:rPr>
        <w:t>1000万</w:t>
      </w:r>
      <w:r>
        <w:rPr>
          <w:rFonts w:hint="eastAsia" w:asciiTheme="minorEastAsia" w:hAnsiTheme="minorEastAsia"/>
          <w:sz w:val="28"/>
          <w:szCs w:val="32"/>
          <w:lang w:eastAsia="zh-TW"/>
        </w:rPr>
        <w:t>元以上（需提供依据）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4)</w:t>
      </w:r>
      <w:r>
        <w:rPr>
          <w:rFonts w:hint="eastAsia" w:asciiTheme="minorEastAsia" w:hAnsiTheme="minorEastAsia"/>
          <w:sz w:val="28"/>
          <w:szCs w:val="32"/>
          <w:lang w:eastAsia="zh-TW"/>
        </w:rPr>
        <w:t>付款方式：月结方式</w:t>
      </w:r>
      <w:r>
        <w:rPr>
          <w:rFonts w:hint="eastAsia" w:asciiTheme="minorEastAsia" w:hAnsiTheme="minorEastAsia"/>
          <w:sz w:val="28"/>
          <w:szCs w:val="32"/>
        </w:rPr>
        <w:t>60</w:t>
      </w:r>
      <w:r>
        <w:rPr>
          <w:rFonts w:hint="eastAsia" w:asciiTheme="minorEastAsia" w:hAnsiTheme="minorEastAsia"/>
          <w:sz w:val="28"/>
          <w:szCs w:val="32"/>
          <w:lang w:eastAsia="zh-TW"/>
        </w:rPr>
        <w:t>天以上</w:t>
      </w:r>
      <w:r>
        <w:rPr>
          <w:rFonts w:hint="eastAsia" w:asciiTheme="minorEastAsia" w:hAnsiTheme="minorEastAsia"/>
          <w:sz w:val="28"/>
          <w:szCs w:val="32"/>
        </w:rPr>
        <w:t>。 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5)</w:t>
      </w:r>
      <w:r>
        <w:rPr>
          <w:rFonts w:hint="eastAsia" w:asciiTheme="minorEastAsia" w:hAnsiTheme="minorEastAsia"/>
          <w:sz w:val="28"/>
          <w:szCs w:val="32"/>
          <w:lang w:eastAsia="zh-TW"/>
        </w:rPr>
        <w:t>可以开具增值税票</w:t>
      </w:r>
      <w:r>
        <w:rPr>
          <w:rFonts w:hint="eastAsia" w:asciiTheme="minorEastAsia" w:hAnsiTheme="minorEastAsia"/>
          <w:sz w:val="28"/>
          <w:szCs w:val="32"/>
        </w:rPr>
        <w:t>13%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二、</w:t>
      </w:r>
      <w:r>
        <w:rPr>
          <w:rFonts w:hint="eastAsia" w:asciiTheme="minorEastAsia" w:hAnsiTheme="minorEastAsia"/>
          <w:sz w:val="28"/>
          <w:szCs w:val="32"/>
          <w:lang w:eastAsia="zh-TW"/>
        </w:rPr>
        <w:t>基本技术要求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TW"/>
          <w14:textFill>
            <w14:solidFill>
              <w14:schemeClr w14:val="tx1"/>
            </w14:solidFill>
          </w14:textFill>
        </w:rPr>
        <w:t>工艺要求：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1.不能对电源本体造成损坏。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:lang w:eastAsia="zh-TW"/>
          <w14:textFill>
            <w14:solidFill>
              <w14:schemeClr w14:val="tx1"/>
            </w14:solidFill>
          </w14:textFill>
        </w:rPr>
        <w:t>二、方案要求：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1.老化台车尺寸L2050*W880*H1900MM（单个老化车尺寸），台车层数6层，台车层高170MM。（尺寸仅供参考，具体尺寸可根据实际安装场地尺寸）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2.兼容隔离电源、非隔离电源、无频闪电源的老化。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3.兼容100-400W的电源老化，单通道被测电源功率100W以下，单个老化台车电源老化数量：100W/10A以下电源老化192台、200W/20A以下电源老化96台、400W/40A以下电源老化48台。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4.电控含手动/自动切换，控制柜输入三相380V，输出90V/120V/230V/265V/305V五种电压，同时控制4台老化柜。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5.产品区温控范围常温至80度±5度，标配排风系统，低温加热，超温排风。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6.电脑监控输出电流、电压、功率、温度，超温报警保护，自动切断电源。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7.输出电流、电压、功率实测精度误差为±1％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8.老化车每层的老化参数可单独可调可控，满足多种规格参数型号的电源同时老化。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9.电源老化AC输入端配三孔万用插座及4位音响夹（45度斜角安装），DC输出端配4位音响夹、2.54/2.0 DC母插和3位接线端子。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10.老化数据自动保存，数据分析输出不良率P管制图。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11.安全防护，折叠式可视化安全防护门，设备接地保护、漏电保护、烟雾报警自动断电保护等。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三、验收要求：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1.符合设备技术参数要求。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2.符合外观尺寸要求。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投标截止时间：2020年1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32"/>
        </w:rPr>
        <w:t>月1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32"/>
        </w:rPr>
        <w:t>日 18：00点前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所有资料请以邮件形式发送到邮箱，谢谢！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联系人：李小姐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电话：29197332-228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邮箱：</w:t>
      </w:r>
      <w:r>
        <w:fldChar w:fldCharType="begin"/>
      </w:r>
      <w:r>
        <w:instrText xml:space="preserve"> HYPERLINK "mailto:caigou.12@upshine.cn"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32"/>
        </w:rPr>
        <w:t>caigou.12@upshine.cn</w:t>
      </w:r>
      <w:r>
        <w:rPr>
          <w:rFonts w:hint="eastAsia" w:asciiTheme="minorEastAsia" w:hAnsiTheme="minorEastAsia"/>
          <w:sz w:val="28"/>
          <w:szCs w:val="32"/>
        </w:rPr>
        <w:fldChar w:fldCharType="end"/>
      </w:r>
    </w:p>
    <w:p>
      <w:pPr>
        <w:ind w:firstLine="420"/>
        <w:jc w:val="left"/>
        <w:rPr>
          <w:rFonts w:cs="PMingLiU" w:asciiTheme="minorEastAsia" w:hAnsiTheme="minorEastAsia"/>
          <w:color w:val="7F7F7F"/>
          <w:sz w:val="22"/>
          <w:szCs w:val="22"/>
          <w:shd w:val="clear" w:color="auto" w:fill="FFFFFF"/>
        </w:rPr>
      </w:pPr>
    </w:p>
    <w:p>
      <w:pPr>
        <w:ind w:firstLine="420"/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D9"/>
    <w:rsid w:val="00125557"/>
    <w:rsid w:val="0013513A"/>
    <w:rsid w:val="00157E7F"/>
    <w:rsid w:val="00352293"/>
    <w:rsid w:val="00641FE1"/>
    <w:rsid w:val="008B3404"/>
    <w:rsid w:val="00993C10"/>
    <w:rsid w:val="00A5454E"/>
    <w:rsid w:val="00BA2692"/>
    <w:rsid w:val="00D542DF"/>
    <w:rsid w:val="00DA14EC"/>
    <w:rsid w:val="00DA56D9"/>
    <w:rsid w:val="00E51CE8"/>
    <w:rsid w:val="00EA3AD6"/>
    <w:rsid w:val="010F0B9C"/>
    <w:rsid w:val="14C54A70"/>
    <w:rsid w:val="17924613"/>
    <w:rsid w:val="28284D94"/>
    <w:rsid w:val="307E3F2A"/>
    <w:rsid w:val="38307FFB"/>
    <w:rsid w:val="3A2B08E6"/>
    <w:rsid w:val="43B862F3"/>
    <w:rsid w:val="443F62D3"/>
    <w:rsid w:val="4EAF06C0"/>
    <w:rsid w:val="58C23CB0"/>
    <w:rsid w:val="59F71556"/>
    <w:rsid w:val="5E635993"/>
    <w:rsid w:val="5FB46CA5"/>
    <w:rsid w:val="7BD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853</Characters>
  <Lines>7</Lines>
  <Paragraphs>1</Paragraphs>
  <TotalTime>159</TotalTime>
  <ScaleCrop>false</ScaleCrop>
  <LinksUpToDate>false</LinksUpToDate>
  <CharactersWithSpaces>1001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pmc-03</dc:creator>
  <cp:lastModifiedBy>pmc-03</cp:lastModifiedBy>
  <dcterms:modified xsi:type="dcterms:W3CDTF">2020-10-29T08:05:25Z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